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A9037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A9037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4D896BA6" w:rsidR="00901208" w:rsidRPr="00652E92" w:rsidRDefault="00901208" w:rsidP="00A90373">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DD3FA3">
        <w:rPr>
          <w:rFonts w:cs="B Mitra" w:hint="cs"/>
          <w:b/>
          <w:bCs/>
          <w:sz w:val="32"/>
          <w:szCs w:val="32"/>
          <w:rtl/>
          <w:lang w:bidi="fa-IR"/>
        </w:rPr>
        <w:t>6</w:t>
      </w:r>
      <w:r w:rsidR="00F32641">
        <w:rPr>
          <w:rFonts w:cs="B Mitra" w:hint="cs"/>
          <w:b/>
          <w:bCs/>
          <w:sz w:val="32"/>
          <w:szCs w:val="32"/>
          <w:rtl/>
          <w:lang w:bidi="fa-IR"/>
        </w:rPr>
        <w:t>3</w:t>
      </w:r>
    </w:p>
    <w:p w14:paraId="280D37E5" w14:textId="77777777" w:rsidR="008744A3" w:rsidRDefault="008744A3" w:rsidP="00A90373">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125E610D" w14:textId="3D190A91" w:rsidR="00E86342" w:rsidRDefault="00F32641" w:rsidP="00E86342">
      <w:pPr>
        <w:pStyle w:val="NormalWeb"/>
        <w:widowControl w:val="0"/>
        <w:bidi/>
        <w:spacing w:before="0" w:beforeAutospacing="0" w:after="0" w:afterAutospacing="0" w:line="259" w:lineRule="auto"/>
        <w:ind w:firstLine="284"/>
        <w:jc w:val="both"/>
        <w:rPr>
          <w:rFonts w:cs="Abz-2 (Badr)"/>
          <w:spacing w:val="-2"/>
          <w:sz w:val="28"/>
          <w:szCs w:val="28"/>
          <w:rtl/>
          <w:lang w:bidi="fa-IR"/>
        </w:rPr>
      </w:pPr>
      <w:r w:rsidRPr="00F32641">
        <w:rPr>
          <w:rFonts w:cs="Abz-2 (Badr)" w:hint="cs"/>
          <w:spacing w:val="-2"/>
          <w:sz w:val="28"/>
          <w:szCs w:val="28"/>
          <w:rtl/>
          <w:lang w:bidi="fa-IR"/>
        </w:rPr>
        <w:t>بحث در اين مسأله بود که اگر قبل از حکم حکمين، زوجين يا يکی از آنها غايب شوند، آيا حکمين می</w:t>
      </w:r>
      <w:r w:rsidRPr="00F32641">
        <w:rPr>
          <w:rFonts w:cs="Abz-2 (Badr)"/>
          <w:spacing w:val="-2"/>
          <w:sz w:val="28"/>
          <w:szCs w:val="28"/>
          <w:rtl/>
          <w:lang w:bidi="fa-IR"/>
        </w:rPr>
        <w:softHyphen/>
      </w:r>
      <w:r w:rsidRPr="00F32641">
        <w:rPr>
          <w:rFonts w:cs="Abz-2 (Badr)" w:hint="cs"/>
          <w:spacing w:val="-2"/>
          <w:sz w:val="28"/>
          <w:szCs w:val="28"/>
          <w:rtl/>
          <w:lang w:bidi="fa-IR"/>
        </w:rPr>
        <w:t>توانند در غياب آنها حکم به استمرار نکاح يا تفريق بين آنان بکنند يا خير؟ و گفتيم که شيخ در مبسوط حکم به عدم جواز کرده و وجه آن را اين گونه بيان کرده که حکم بر غايب اگرچه ممکن است اما وجهی برای صحت حکم برای غايب وجود ندارد و چون در نزاع بين زوجين تداعی وجود دارد، بنابر اين هر دو مدعی بوده و حکم برای آنها در غيابشان ممکن نيست.</w:t>
      </w:r>
    </w:p>
    <w:p w14:paraId="57694E3A" w14:textId="021AF1DC" w:rsidR="005E2B0A" w:rsidRDefault="005E2B0A" w:rsidP="005E2B0A">
      <w:pPr>
        <w:pStyle w:val="NormalWeb"/>
        <w:widowControl w:val="0"/>
        <w:bidi/>
        <w:spacing w:before="0" w:beforeAutospacing="0" w:after="0" w:afterAutospacing="0" w:line="259" w:lineRule="auto"/>
        <w:ind w:firstLine="284"/>
        <w:jc w:val="both"/>
        <w:rPr>
          <w:rFonts w:cs="Abz-2 (Badr)"/>
          <w:sz w:val="28"/>
          <w:szCs w:val="28"/>
          <w:rtl/>
          <w:lang w:bidi="fa-IR"/>
        </w:rPr>
      </w:pPr>
      <w:r w:rsidRPr="005E2B0A">
        <w:rPr>
          <w:rFonts w:cs="Abz-2 (Badr)" w:hint="cs"/>
          <w:sz w:val="28"/>
          <w:szCs w:val="28"/>
          <w:rtl/>
          <w:lang w:bidi="fa-IR"/>
        </w:rPr>
        <w:t xml:space="preserve">و گفتيم که محقق قائل به جواز حکم در اين صورت شده و در تعليل برای آن فرموده است که </w:t>
      </w:r>
      <w:r>
        <w:rPr>
          <w:rFonts w:cs="Abz-2 (Badr)" w:hint="cs"/>
          <w:sz w:val="28"/>
          <w:szCs w:val="28"/>
          <w:rtl/>
          <w:lang w:bidi="fa-IR"/>
        </w:rPr>
        <w:t>اگر حکم به اصلاح شود منعی از جهت مذکور در کلام شيخ وجود نخواهد داشت، هرچند حکم به تفريق بدون اذن زوجين جايز نيست.</w:t>
      </w:r>
    </w:p>
    <w:p w14:paraId="3633DFA6" w14:textId="1F184C6C" w:rsidR="005E2B0A" w:rsidRPr="005E2B0A" w:rsidRDefault="005E2B0A" w:rsidP="005E2B0A">
      <w:pPr>
        <w:pStyle w:val="NormalWeb"/>
        <w:widowControl w:val="0"/>
        <w:bidi/>
        <w:spacing w:before="0" w:beforeAutospacing="0" w:after="0" w:afterAutospacing="0" w:line="259" w:lineRule="auto"/>
        <w:ind w:firstLine="284"/>
        <w:jc w:val="both"/>
        <w:rPr>
          <w:rFonts w:cs="Abz-2 (Badr)"/>
          <w:color w:val="0070C0"/>
          <w:sz w:val="28"/>
          <w:szCs w:val="28"/>
          <w:rtl/>
          <w:lang w:bidi="fa-IR"/>
        </w:rPr>
      </w:pPr>
      <w:r>
        <w:rPr>
          <w:rFonts w:cs="Abz-2 (Badr)" w:hint="cs"/>
          <w:sz w:val="28"/>
          <w:szCs w:val="28"/>
          <w:rtl/>
          <w:lang w:bidi="fa-IR"/>
        </w:rPr>
        <w:t>صاحب مسال</w:t>
      </w:r>
      <w:r>
        <w:rPr>
          <w:rFonts w:cs="Abz-2 (Badr)" w:hint="cs"/>
          <w:sz w:val="28"/>
          <w:szCs w:val="28"/>
          <w:rtl/>
        </w:rPr>
        <w:t>ك</w:t>
      </w:r>
      <w:r>
        <w:rPr>
          <w:rFonts w:cs="Abz-2 (Badr)" w:hint="cs"/>
          <w:sz w:val="28"/>
          <w:szCs w:val="28"/>
          <w:rtl/>
          <w:lang w:bidi="fa-IR"/>
        </w:rPr>
        <w:t xml:space="preserve"> با اشکال بر استدلال محقق می</w:t>
      </w:r>
      <w:r>
        <w:rPr>
          <w:rFonts w:cs="Abz-2 (Badr)"/>
          <w:sz w:val="28"/>
          <w:szCs w:val="28"/>
          <w:rtl/>
          <w:lang w:bidi="fa-IR"/>
        </w:rPr>
        <w:softHyphen/>
      </w:r>
      <w:r>
        <w:rPr>
          <w:rFonts w:cs="Abz-2 (Badr)" w:hint="cs"/>
          <w:sz w:val="28"/>
          <w:szCs w:val="28"/>
          <w:rtl/>
          <w:lang w:bidi="fa-IR"/>
        </w:rPr>
        <w:t xml:space="preserve">فرمايد: </w:t>
      </w:r>
      <w:r w:rsidRPr="005E2B0A">
        <w:rPr>
          <w:rFonts w:cs="Abz-2 (Badr)" w:hint="cs"/>
          <w:color w:val="0070C0"/>
          <w:sz w:val="28"/>
          <w:szCs w:val="28"/>
          <w:rtl/>
          <w:lang w:bidi="fa-IR"/>
        </w:rPr>
        <w:t>«</w:t>
      </w:r>
      <w:r w:rsidRPr="005E2B0A">
        <w:rPr>
          <w:rFonts w:cs="Abz-2 (Badr)"/>
          <w:color w:val="0070C0"/>
          <w:sz w:val="28"/>
          <w:szCs w:val="28"/>
          <w:rtl/>
          <w:lang w:bidi="ar"/>
        </w:rPr>
        <w:t>فيه نظر، لجواز أن يشتمل الحكم مع الإصلاح على شرط لأحدهما</w:t>
      </w:r>
      <w:r w:rsidRPr="005E2B0A">
        <w:rPr>
          <w:rFonts w:cs="Abz-2 (Badr)" w:hint="cs"/>
          <w:color w:val="0070C0"/>
          <w:sz w:val="28"/>
          <w:szCs w:val="28"/>
          <w:rtl/>
          <w:lang w:bidi="ar"/>
        </w:rPr>
        <w:t>،</w:t>
      </w:r>
      <w:r w:rsidRPr="005E2B0A">
        <w:rPr>
          <w:rFonts w:cs="Abz-2 (Badr)"/>
          <w:color w:val="0070C0"/>
          <w:sz w:val="28"/>
          <w:szCs w:val="28"/>
          <w:rtl/>
          <w:lang w:bidi="ar"/>
        </w:rPr>
        <w:t xml:space="preserve"> فيكون حكما</w:t>
      </w:r>
      <w:r w:rsidRPr="005E2B0A">
        <w:rPr>
          <w:rFonts w:cs="Abz-2 (Badr)" w:hint="cs"/>
          <w:color w:val="0070C0"/>
          <w:sz w:val="28"/>
          <w:szCs w:val="28"/>
          <w:rtl/>
          <w:lang w:bidi="ar"/>
        </w:rPr>
        <w:t>ً</w:t>
      </w:r>
      <w:r w:rsidRPr="005E2B0A">
        <w:rPr>
          <w:rFonts w:cs="Abz-2 (Badr)"/>
          <w:color w:val="0070C0"/>
          <w:sz w:val="28"/>
          <w:szCs w:val="28"/>
          <w:rtl/>
          <w:lang w:bidi="ar"/>
        </w:rPr>
        <w:t xml:space="preserve"> للغائب وإن حصل معه الإصلاح.</w:t>
      </w:r>
      <w:r w:rsidRPr="005E2B0A">
        <w:rPr>
          <w:rFonts w:cs="Abz-2 (Badr)" w:hint="cs"/>
          <w:color w:val="0070C0"/>
          <w:sz w:val="28"/>
          <w:szCs w:val="28"/>
          <w:rtl/>
          <w:lang w:bidi="ar"/>
        </w:rPr>
        <w:t>»</w:t>
      </w:r>
      <w:r w:rsidRPr="005E2B0A">
        <w:rPr>
          <w:rStyle w:val="FootnoteReference"/>
          <w:rFonts w:cs="Abz-2 (Badr)"/>
          <w:sz w:val="28"/>
          <w:szCs w:val="28"/>
          <w:rtl/>
          <w:lang w:bidi="ar"/>
        </w:rPr>
        <w:footnoteReference w:id="1"/>
      </w:r>
    </w:p>
    <w:p w14:paraId="6BC06E54" w14:textId="77777777" w:rsidR="00400846" w:rsidRPr="005E2B0A" w:rsidRDefault="00400846" w:rsidP="00400846">
      <w:pPr>
        <w:pStyle w:val="NormalWeb"/>
        <w:widowControl w:val="0"/>
        <w:bidi/>
        <w:spacing w:before="0" w:beforeAutospacing="0" w:after="0" w:afterAutospacing="0" w:line="259" w:lineRule="auto"/>
        <w:ind w:firstLine="284"/>
        <w:jc w:val="both"/>
        <w:rPr>
          <w:rFonts w:cs="Abz-2 (Badr)"/>
          <w:color w:val="0070C0"/>
          <w:sz w:val="28"/>
          <w:szCs w:val="28"/>
          <w:rtl/>
          <w:lang w:bidi="ar"/>
        </w:rPr>
      </w:pPr>
      <w:r>
        <w:rPr>
          <w:rFonts w:cs="Abz-2 (Badr)" w:hint="cs"/>
          <w:sz w:val="28"/>
          <w:szCs w:val="28"/>
          <w:rtl/>
          <w:lang w:bidi="fa-IR"/>
        </w:rPr>
        <w:t>اما صاحب جواهر به مانند محقق قائل به جواز حکم در اين فرض شده و در تعليل برای آن ضمن نقد استدلال محقق می</w:t>
      </w:r>
      <w:r>
        <w:rPr>
          <w:rFonts w:cs="Abz-2 (Badr)"/>
          <w:sz w:val="28"/>
          <w:szCs w:val="28"/>
          <w:rtl/>
          <w:lang w:bidi="fa-IR"/>
        </w:rPr>
        <w:softHyphen/>
      </w:r>
      <w:r>
        <w:rPr>
          <w:rFonts w:cs="Abz-2 (Badr)" w:hint="cs"/>
          <w:sz w:val="28"/>
          <w:szCs w:val="28"/>
          <w:rtl/>
          <w:lang w:bidi="fa-IR"/>
        </w:rPr>
        <w:t xml:space="preserve">فرمايد: </w:t>
      </w:r>
      <w:r w:rsidRPr="005E2B0A">
        <w:rPr>
          <w:rFonts w:cs="Abz-2 (Badr)" w:hint="cs"/>
          <w:color w:val="0070C0"/>
          <w:sz w:val="28"/>
          <w:szCs w:val="28"/>
          <w:rtl/>
          <w:lang w:bidi="fa-IR"/>
        </w:rPr>
        <w:t>«</w:t>
      </w:r>
      <w:r w:rsidRPr="00400846">
        <w:rPr>
          <w:rFonts w:cs="Abz-2 (Badr)"/>
          <w:color w:val="0070C0"/>
          <w:sz w:val="28"/>
          <w:szCs w:val="28"/>
          <w:rtl/>
          <w:lang w:bidi="ar"/>
        </w:rPr>
        <w:t>لو قيل بالجواز كان حسنا</w:t>
      </w:r>
      <w:r w:rsidRPr="005E2B0A">
        <w:rPr>
          <w:rFonts w:cs="Abz-2 (Badr)" w:hint="cs"/>
          <w:color w:val="0070C0"/>
          <w:sz w:val="28"/>
          <w:szCs w:val="28"/>
          <w:rtl/>
          <w:lang w:bidi="ar"/>
        </w:rPr>
        <w:t>ً،</w:t>
      </w:r>
      <w:r w:rsidRPr="00400846">
        <w:rPr>
          <w:rFonts w:cs="Abz-2 (Badr)"/>
          <w:color w:val="0070C0"/>
          <w:sz w:val="28"/>
          <w:szCs w:val="28"/>
          <w:rtl/>
          <w:lang w:bidi="ar"/>
        </w:rPr>
        <w:t xml:space="preserve"> لا لما ذكره المصن</w:t>
      </w:r>
      <w:r w:rsidRPr="005E2B0A">
        <w:rPr>
          <w:rFonts w:cs="Abz-2 (Badr)" w:hint="cs"/>
          <w:color w:val="0070C0"/>
          <w:sz w:val="28"/>
          <w:szCs w:val="28"/>
          <w:rtl/>
          <w:lang w:bidi="ar"/>
        </w:rPr>
        <w:t>ّ</w:t>
      </w:r>
      <w:r w:rsidRPr="00400846">
        <w:rPr>
          <w:rFonts w:cs="Abz-2 (Badr)"/>
          <w:color w:val="0070C0"/>
          <w:sz w:val="28"/>
          <w:szCs w:val="28"/>
          <w:rtl/>
          <w:lang w:bidi="ar"/>
        </w:rPr>
        <w:t xml:space="preserve">ف </w:t>
      </w:r>
      <w:r w:rsidRPr="005E2B0A">
        <w:rPr>
          <w:rFonts w:cs="Abz-2 (Badr)" w:hint="cs"/>
          <w:color w:val="0070C0"/>
          <w:sz w:val="28"/>
          <w:szCs w:val="28"/>
          <w:rtl/>
          <w:lang w:bidi="ar"/>
        </w:rPr>
        <w:t xml:space="preserve">ـ </w:t>
      </w:r>
      <w:r w:rsidRPr="00400846">
        <w:rPr>
          <w:rFonts w:cs="Abz-2 (Badr)"/>
          <w:color w:val="0070C0"/>
          <w:sz w:val="28"/>
          <w:szCs w:val="28"/>
          <w:rtl/>
          <w:lang w:bidi="ar"/>
        </w:rPr>
        <w:t>من أن</w:t>
      </w:r>
      <w:r w:rsidRPr="005E2B0A">
        <w:rPr>
          <w:rFonts w:cs="Abz-2 (Badr)" w:hint="cs"/>
          <w:color w:val="0070C0"/>
          <w:sz w:val="28"/>
          <w:szCs w:val="28"/>
          <w:rtl/>
          <w:lang w:bidi="ar"/>
        </w:rPr>
        <w:t>ّ</w:t>
      </w:r>
      <w:r w:rsidRPr="00400846">
        <w:rPr>
          <w:rFonts w:cs="Abz-2 (Badr)"/>
          <w:color w:val="0070C0"/>
          <w:sz w:val="28"/>
          <w:szCs w:val="28"/>
          <w:rtl/>
          <w:lang w:bidi="ar"/>
        </w:rPr>
        <w:t xml:space="preserve"> حكمهما مقصور على الإصلاح أم</w:t>
      </w:r>
      <w:r w:rsidRPr="005E2B0A">
        <w:rPr>
          <w:rFonts w:cs="Abz-2 (Badr)" w:hint="cs"/>
          <w:color w:val="0070C0"/>
          <w:sz w:val="28"/>
          <w:szCs w:val="28"/>
          <w:rtl/>
          <w:lang w:bidi="ar"/>
        </w:rPr>
        <w:t>ّ</w:t>
      </w:r>
      <w:r w:rsidRPr="00400846">
        <w:rPr>
          <w:rFonts w:cs="Abz-2 (Badr)"/>
          <w:color w:val="0070C0"/>
          <w:sz w:val="28"/>
          <w:szCs w:val="28"/>
          <w:rtl/>
          <w:lang w:bidi="ar"/>
        </w:rPr>
        <w:t>ا التفرقة فموقوفة على ال</w:t>
      </w:r>
      <w:r w:rsidRPr="005E2B0A">
        <w:rPr>
          <w:rFonts w:cs="Abz-2 (Badr)" w:hint="cs"/>
          <w:color w:val="0070C0"/>
          <w:sz w:val="28"/>
          <w:szCs w:val="28"/>
          <w:rtl/>
          <w:lang w:bidi="ar"/>
        </w:rPr>
        <w:t>إ</w:t>
      </w:r>
      <w:r w:rsidRPr="00400846">
        <w:rPr>
          <w:rFonts w:cs="Abz-2 (Badr)"/>
          <w:color w:val="0070C0"/>
          <w:sz w:val="28"/>
          <w:szCs w:val="28"/>
          <w:rtl/>
          <w:lang w:bidi="ar"/>
        </w:rPr>
        <w:t>ذن</w:t>
      </w:r>
      <w:r w:rsidRPr="005E2B0A">
        <w:rPr>
          <w:rFonts w:cs="Abz-2 (Badr)" w:hint="cs"/>
          <w:color w:val="0070C0"/>
          <w:sz w:val="28"/>
          <w:szCs w:val="28"/>
          <w:rtl/>
          <w:lang w:bidi="ar"/>
        </w:rPr>
        <w:t xml:space="preserve"> ـ</w:t>
      </w:r>
      <w:r w:rsidRPr="00400846">
        <w:rPr>
          <w:rFonts w:cs="Abz-2 (Badr)"/>
          <w:color w:val="0070C0"/>
          <w:sz w:val="28"/>
          <w:szCs w:val="28"/>
          <w:rtl/>
          <w:lang w:bidi="ar"/>
        </w:rPr>
        <w:t xml:space="preserve"> ضرورة عدم انطباق ذلك على حج</w:t>
      </w:r>
      <w:r w:rsidRPr="005E2B0A">
        <w:rPr>
          <w:rFonts w:cs="Abz-2 (Badr)" w:hint="cs"/>
          <w:color w:val="0070C0"/>
          <w:sz w:val="28"/>
          <w:szCs w:val="28"/>
          <w:rtl/>
          <w:lang w:bidi="ar"/>
        </w:rPr>
        <w:t>ّ</w:t>
      </w:r>
      <w:r w:rsidRPr="00400846">
        <w:rPr>
          <w:rFonts w:cs="Abz-2 (Badr)"/>
          <w:color w:val="0070C0"/>
          <w:sz w:val="28"/>
          <w:szCs w:val="28"/>
          <w:rtl/>
          <w:lang w:bidi="ar"/>
        </w:rPr>
        <w:t>ة المد</w:t>
      </w:r>
      <w:r w:rsidRPr="005E2B0A">
        <w:rPr>
          <w:rFonts w:cs="Abz-2 (Badr)" w:hint="cs"/>
          <w:color w:val="0070C0"/>
          <w:sz w:val="28"/>
          <w:szCs w:val="28"/>
          <w:rtl/>
          <w:lang w:bidi="ar"/>
        </w:rPr>
        <w:t>ّ</w:t>
      </w:r>
      <w:r w:rsidRPr="00400846">
        <w:rPr>
          <w:rFonts w:cs="Abz-2 (Badr)"/>
          <w:color w:val="0070C0"/>
          <w:sz w:val="28"/>
          <w:szCs w:val="28"/>
          <w:rtl/>
          <w:lang w:bidi="ar"/>
        </w:rPr>
        <w:t>ع</w:t>
      </w:r>
      <w:r w:rsidRPr="005E2B0A">
        <w:rPr>
          <w:rFonts w:cs="Abz-2 (Badr)" w:hint="cs"/>
          <w:color w:val="0070C0"/>
          <w:sz w:val="28"/>
          <w:szCs w:val="28"/>
          <w:rtl/>
          <w:lang w:bidi="ar"/>
        </w:rPr>
        <w:t>ي</w:t>
      </w:r>
      <w:r w:rsidRPr="00400846">
        <w:rPr>
          <w:rFonts w:cs="Abz-2 (Badr)"/>
          <w:color w:val="0070C0"/>
          <w:sz w:val="28"/>
          <w:szCs w:val="28"/>
          <w:rtl/>
          <w:lang w:bidi="ar"/>
        </w:rPr>
        <w:t>، بل لمنع عدم جواز الحكم للغائب وعليه في المقام، لإطلاق الأدل</w:t>
      </w:r>
      <w:r w:rsidRPr="005E2B0A">
        <w:rPr>
          <w:rFonts w:cs="Abz-2 (Badr)" w:hint="cs"/>
          <w:color w:val="0070C0"/>
          <w:sz w:val="28"/>
          <w:szCs w:val="28"/>
          <w:rtl/>
          <w:lang w:bidi="ar"/>
        </w:rPr>
        <w:t>ّ</w:t>
      </w:r>
      <w:r w:rsidRPr="00400846">
        <w:rPr>
          <w:rFonts w:cs="Abz-2 (Badr)"/>
          <w:color w:val="0070C0"/>
          <w:sz w:val="28"/>
          <w:szCs w:val="28"/>
          <w:rtl/>
          <w:lang w:bidi="ar"/>
        </w:rPr>
        <w:t>ة الذي لا يعارضه القياس على حكم الفقيه للغائب لو سل</w:t>
      </w:r>
      <w:r w:rsidRPr="005E2B0A">
        <w:rPr>
          <w:rFonts w:cs="Abz-2 (Badr)" w:hint="cs"/>
          <w:color w:val="0070C0"/>
          <w:sz w:val="28"/>
          <w:szCs w:val="28"/>
          <w:rtl/>
          <w:lang w:bidi="ar"/>
        </w:rPr>
        <w:t>ّ</w:t>
      </w:r>
      <w:r w:rsidRPr="00400846">
        <w:rPr>
          <w:rFonts w:cs="Abz-2 (Badr)"/>
          <w:color w:val="0070C0"/>
          <w:sz w:val="28"/>
          <w:szCs w:val="28"/>
          <w:rtl/>
          <w:lang w:bidi="ar"/>
        </w:rPr>
        <w:t>م المقيس عليه، ولذا لا يكون الغائب منهما على حج</w:t>
      </w:r>
      <w:r w:rsidRPr="005E2B0A">
        <w:rPr>
          <w:rFonts w:cs="Abz-2 (Badr)" w:hint="cs"/>
          <w:color w:val="0070C0"/>
          <w:sz w:val="28"/>
          <w:szCs w:val="28"/>
          <w:rtl/>
          <w:lang w:bidi="ar"/>
        </w:rPr>
        <w:t>ّ</w:t>
      </w:r>
      <w:r w:rsidRPr="00400846">
        <w:rPr>
          <w:rFonts w:cs="Abz-2 (Badr)"/>
          <w:color w:val="0070C0"/>
          <w:sz w:val="28"/>
          <w:szCs w:val="28"/>
          <w:rtl/>
          <w:lang w:bidi="ar"/>
        </w:rPr>
        <w:t>ته في المقام بخلافه هناك</w:t>
      </w:r>
      <w:r w:rsidRPr="005E2B0A">
        <w:rPr>
          <w:rFonts w:cs="Abz-2 (Badr)" w:hint="cs"/>
          <w:color w:val="0070C0"/>
          <w:sz w:val="28"/>
          <w:szCs w:val="28"/>
          <w:rtl/>
          <w:lang w:bidi="ar"/>
        </w:rPr>
        <w:t>.</w:t>
      </w:r>
    </w:p>
    <w:p w14:paraId="12741325" w14:textId="77777777" w:rsidR="00400846" w:rsidRPr="005E2B0A" w:rsidRDefault="00400846" w:rsidP="00400846">
      <w:pPr>
        <w:pStyle w:val="NormalWeb"/>
        <w:widowControl w:val="0"/>
        <w:bidi/>
        <w:spacing w:before="0" w:beforeAutospacing="0" w:after="0" w:afterAutospacing="0" w:line="259" w:lineRule="auto"/>
        <w:ind w:firstLine="284"/>
        <w:jc w:val="both"/>
        <w:rPr>
          <w:rFonts w:cs="Abz-2 (Badr)"/>
          <w:color w:val="0070C0"/>
          <w:sz w:val="28"/>
          <w:szCs w:val="28"/>
          <w:rtl/>
          <w:lang w:bidi="ar"/>
        </w:rPr>
      </w:pPr>
      <w:r w:rsidRPr="00400846">
        <w:rPr>
          <w:rFonts w:cs="Abz-2 (Badr)"/>
          <w:color w:val="0070C0"/>
          <w:sz w:val="28"/>
          <w:szCs w:val="28"/>
          <w:rtl/>
          <w:lang w:bidi="ar"/>
        </w:rPr>
        <w:t>ودعوى عدم معلومي</w:t>
      </w:r>
      <w:r w:rsidRPr="005E2B0A">
        <w:rPr>
          <w:rFonts w:cs="Abz-2 (Badr)" w:hint="cs"/>
          <w:color w:val="0070C0"/>
          <w:sz w:val="28"/>
          <w:szCs w:val="28"/>
          <w:rtl/>
          <w:lang w:bidi="ar"/>
        </w:rPr>
        <w:t>ّ</w:t>
      </w:r>
      <w:r w:rsidRPr="00400846">
        <w:rPr>
          <w:rFonts w:cs="Abz-2 (Badr)"/>
          <w:color w:val="0070C0"/>
          <w:sz w:val="28"/>
          <w:szCs w:val="28"/>
          <w:rtl/>
          <w:lang w:bidi="ar"/>
        </w:rPr>
        <w:t xml:space="preserve">ة بقاء الشقاق بينهما مع الغيبة خروج عن عنوان البحث الذي هو الحكم عليهما من حيث الغيبة </w:t>
      </w:r>
      <w:r w:rsidRPr="00400846">
        <w:rPr>
          <w:rFonts w:cs="Abz-2 (Badr)"/>
          <w:color w:val="0070C0"/>
          <w:sz w:val="28"/>
          <w:szCs w:val="28"/>
          <w:rtl/>
          <w:lang w:bidi="ar"/>
        </w:rPr>
        <w:lastRenderedPageBreak/>
        <w:t>التي يمكن أن تجامع العلم ببقاء الشقاق بينهما</w:t>
      </w:r>
      <w:r w:rsidRPr="005E2B0A">
        <w:rPr>
          <w:rFonts w:cs="Abz-2 (Badr)" w:hint="cs"/>
          <w:color w:val="0070C0"/>
          <w:sz w:val="28"/>
          <w:szCs w:val="28"/>
          <w:rtl/>
          <w:lang w:bidi="ar"/>
        </w:rPr>
        <w:t>.</w:t>
      </w:r>
      <w:r w:rsidRPr="00400846">
        <w:rPr>
          <w:rFonts w:cs="Abz-2 (Badr)"/>
          <w:color w:val="0070C0"/>
          <w:sz w:val="28"/>
          <w:szCs w:val="28"/>
          <w:rtl/>
          <w:lang w:bidi="ar"/>
        </w:rPr>
        <w:t xml:space="preserve"> على أن</w:t>
      </w:r>
      <w:r w:rsidRPr="005E2B0A">
        <w:rPr>
          <w:rFonts w:cs="Abz-2 (Badr)" w:hint="cs"/>
          <w:color w:val="0070C0"/>
          <w:sz w:val="28"/>
          <w:szCs w:val="28"/>
          <w:rtl/>
          <w:lang w:bidi="ar"/>
        </w:rPr>
        <w:t>ّ</w:t>
      </w:r>
      <w:r w:rsidRPr="00400846">
        <w:rPr>
          <w:rFonts w:cs="Abz-2 (Badr)"/>
          <w:color w:val="0070C0"/>
          <w:sz w:val="28"/>
          <w:szCs w:val="28"/>
          <w:rtl/>
          <w:lang w:bidi="ar"/>
        </w:rPr>
        <w:t xml:space="preserve"> الاستصحاب كاف</w:t>
      </w:r>
      <w:r w:rsidRPr="005E2B0A">
        <w:rPr>
          <w:rFonts w:cs="Abz-2 (Badr)" w:hint="cs"/>
          <w:color w:val="0070C0"/>
          <w:sz w:val="28"/>
          <w:szCs w:val="28"/>
          <w:rtl/>
          <w:lang w:bidi="ar"/>
        </w:rPr>
        <w:t>ٍ</w:t>
      </w:r>
      <w:r w:rsidRPr="00400846">
        <w:rPr>
          <w:rFonts w:cs="Abz-2 (Badr)"/>
          <w:color w:val="0070C0"/>
          <w:sz w:val="28"/>
          <w:szCs w:val="28"/>
          <w:rtl/>
          <w:lang w:bidi="ar"/>
        </w:rPr>
        <w:t xml:space="preserve"> وإن كان قد يقوى عدم نفوذ الحكم عليهما لو فرض تأخ</w:t>
      </w:r>
      <w:r w:rsidRPr="005E2B0A">
        <w:rPr>
          <w:rFonts w:cs="Abz-2 (Badr)" w:hint="cs"/>
          <w:color w:val="0070C0"/>
          <w:sz w:val="28"/>
          <w:szCs w:val="28"/>
          <w:rtl/>
          <w:lang w:bidi="ar"/>
        </w:rPr>
        <w:t>ّ</w:t>
      </w:r>
      <w:r w:rsidRPr="00400846">
        <w:rPr>
          <w:rFonts w:cs="Abz-2 (Badr)"/>
          <w:color w:val="0070C0"/>
          <w:sz w:val="28"/>
          <w:szCs w:val="28"/>
          <w:rtl/>
          <w:lang w:bidi="ar"/>
        </w:rPr>
        <w:t>ره عن ارتفاع الشقاق بينهما</w:t>
      </w:r>
      <w:r w:rsidRPr="005E2B0A">
        <w:rPr>
          <w:rFonts w:cs="Abz-2 (Badr)" w:hint="cs"/>
          <w:color w:val="0070C0"/>
          <w:sz w:val="28"/>
          <w:szCs w:val="28"/>
          <w:rtl/>
          <w:lang w:bidi="ar"/>
        </w:rPr>
        <w:t>.</w:t>
      </w:r>
    </w:p>
    <w:p w14:paraId="68FFB2A1" w14:textId="537145B7" w:rsidR="00400846" w:rsidRPr="00400846" w:rsidRDefault="00400846" w:rsidP="00400846">
      <w:pPr>
        <w:pStyle w:val="NormalWeb"/>
        <w:widowControl w:val="0"/>
        <w:bidi/>
        <w:spacing w:before="0" w:beforeAutospacing="0" w:after="0" w:afterAutospacing="0" w:line="259" w:lineRule="auto"/>
        <w:ind w:firstLine="284"/>
        <w:jc w:val="both"/>
        <w:rPr>
          <w:rFonts w:cs="Abz-2 (Badr)"/>
          <w:color w:val="0070C0"/>
          <w:sz w:val="28"/>
          <w:szCs w:val="28"/>
          <w:rtl/>
          <w:lang w:bidi="fa-IR"/>
        </w:rPr>
      </w:pPr>
      <w:r w:rsidRPr="00400846">
        <w:rPr>
          <w:rFonts w:cs="Abz-2 (Badr)"/>
          <w:color w:val="0070C0"/>
          <w:sz w:val="28"/>
          <w:szCs w:val="28"/>
          <w:rtl/>
          <w:lang w:bidi="ar"/>
        </w:rPr>
        <w:t>وكذا الحكم فيما لو سكت أحدهما، بل لا يبعد نفوذ حكم الحكمين فيما لو خرجا أو أحدهما عن قابلي</w:t>
      </w:r>
      <w:r w:rsidRPr="005E2B0A">
        <w:rPr>
          <w:rFonts w:cs="Abz-2 (Badr)" w:hint="cs"/>
          <w:color w:val="0070C0"/>
          <w:sz w:val="28"/>
          <w:szCs w:val="28"/>
          <w:rtl/>
          <w:lang w:bidi="ar"/>
        </w:rPr>
        <w:t>ّ</w:t>
      </w:r>
      <w:r w:rsidRPr="00400846">
        <w:rPr>
          <w:rFonts w:cs="Abz-2 (Badr)"/>
          <w:color w:val="0070C0"/>
          <w:sz w:val="28"/>
          <w:szCs w:val="28"/>
          <w:rtl/>
          <w:lang w:bidi="ar"/>
        </w:rPr>
        <w:t>ة التكليف بجنون أو إغماء فضلا</w:t>
      </w:r>
      <w:r w:rsidRPr="005E2B0A">
        <w:rPr>
          <w:rFonts w:cs="Abz-2 (Badr)" w:hint="cs"/>
          <w:color w:val="0070C0"/>
          <w:sz w:val="28"/>
          <w:szCs w:val="28"/>
          <w:rtl/>
          <w:lang w:bidi="ar"/>
        </w:rPr>
        <w:t>ً</w:t>
      </w:r>
      <w:r w:rsidRPr="00400846">
        <w:rPr>
          <w:rFonts w:cs="Abz-2 (Badr)"/>
          <w:color w:val="0070C0"/>
          <w:sz w:val="28"/>
          <w:szCs w:val="28"/>
          <w:rtl/>
          <w:lang w:bidi="ar"/>
        </w:rPr>
        <w:t xml:space="preserve"> عن الغيبة، لإطلاق الأدل</w:t>
      </w:r>
      <w:r w:rsidRPr="005E2B0A">
        <w:rPr>
          <w:rFonts w:cs="Abz-2 (Badr)" w:hint="cs"/>
          <w:color w:val="0070C0"/>
          <w:sz w:val="28"/>
          <w:szCs w:val="28"/>
          <w:rtl/>
          <w:lang w:bidi="ar"/>
        </w:rPr>
        <w:t>ّ</w:t>
      </w:r>
      <w:r w:rsidRPr="00400846">
        <w:rPr>
          <w:rFonts w:cs="Abz-2 (Badr)"/>
          <w:color w:val="0070C0"/>
          <w:sz w:val="28"/>
          <w:szCs w:val="28"/>
          <w:rtl/>
          <w:lang w:bidi="ar"/>
        </w:rPr>
        <w:t>ة</w:t>
      </w:r>
      <w:r w:rsidRPr="005E2B0A">
        <w:rPr>
          <w:rFonts w:cs="Abz-2 (Badr)" w:hint="cs"/>
          <w:color w:val="0070C0"/>
          <w:sz w:val="28"/>
          <w:szCs w:val="28"/>
          <w:rtl/>
          <w:lang w:bidi="ar"/>
        </w:rPr>
        <w:t>.»</w:t>
      </w:r>
      <w:r w:rsidR="005E2B0A" w:rsidRPr="005E2B0A">
        <w:rPr>
          <w:rStyle w:val="FootnoteReference"/>
          <w:rFonts w:cs="Abz-2 (Badr)"/>
          <w:sz w:val="28"/>
          <w:szCs w:val="28"/>
          <w:rtl/>
          <w:lang w:bidi="ar"/>
        </w:rPr>
        <w:footnoteReference w:id="2"/>
      </w:r>
    </w:p>
    <w:p w14:paraId="3C442AA1" w14:textId="23B26A67" w:rsidR="00400846" w:rsidRDefault="00C82C4D" w:rsidP="00400846">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در اشکال بر مدعای صاحب جواهر می</w:t>
      </w:r>
      <w:r>
        <w:rPr>
          <w:rFonts w:cs="Abz-2 (Badr)"/>
          <w:sz w:val="28"/>
          <w:szCs w:val="28"/>
          <w:rtl/>
          <w:lang w:bidi="fa-IR"/>
        </w:rPr>
        <w:softHyphen/>
      </w:r>
      <w:r>
        <w:rPr>
          <w:rFonts w:cs="Abz-2 (Badr)" w:hint="cs"/>
          <w:sz w:val="28"/>
          <w:szCs w:val="28"/>
          <w:rtl/>
          <w:lang w:bidi="fa-IR"/>
        </w:rPr>
        <w:t>توان گفت: اخذ به اطلاق ادله منوط بر اين است که احراز شود که متکلم از جهت غيبت يا حضور زوجين در مقام بوده است، در حالی که اين مطلب قابل احراز نيست. به همين خاطر در خصوص حکم برای غايب در قاضی منصوب نيز اشکال شده است، وگرنه در ادله قاضی منصوب نيز می</w:t>
      </w:r>
      <w:r>
        <w:rPr>
          <w:rFonts w:cs="Abz-2 (Badr)"/>
          <w:sz w:val="28"/>
          <w:szCs w:val="28"/>
          <w:rtl/>
          <w:lang w:bidi="fa-IR"/>
        </w:rPr>
        <w:softHyphen/>
      </w:r>
      <w:r>
        <w:rPr>
          <w:rFonts w:cs="Abz-2 (Badr)" w:hint="cs"/>
          <w:sz w:val="28"/>
          <w:szCs w:val="28"/>
          <w:rtl/>
          <w:lang w:bidi="fa-IR"/>
        </w:rPr>
        <w:t>توان ادعای اطلاق از اين جهت را نمود.</w:t>
      </w:r>
    </w:p>
    <w:p w14:paraId="51FBDCD2" w14:textId="36E862AB" w:rsidR="00E122DE" w:rsidRDefault="00C82C4D" w:rsidP="00C82C4D">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بنابر اين آنچه که در اين مقام می</w:t>
      </w:r>
      <w:r>
        <w:rPr>
          <w:rFonts w:cs="Abz-2 (Badr)"/>
          <w:sz w:val="28"/>
          <w:szCs w:val="28"/>
          <w:rtl/>
          <w:lang w:bidi="fa-IR"/>
        </w:rPr>
        <w:softHyphen/>
      </w:r>
      <w:r>
        <w:rPr>
          <w:rFonts w:cs="Abz-2 (Badr)" w:hint="cs"/>
          <w:sz w:val="28"/>
          <w:szCs w:val="28"/>
          <w:rtl/>
          <w:lang w:bidi="fa-IR"/>
        </w:rPr>
        <w:t xml:space="preserve">توان گفت اين است که </w:t>
      </w:r>
      <w:r w:rsidR="00E122DE">
        <w:rPr>
          <w:rFonts w:cs="Abz-2 (Badr)" w:hint="cs"/>
          <w:sz w:val="28"/>
          <w:szCs w:val="28"/>
          <w:rtl/>
          <w:lang w:bidi="fa-IR"/>
        </w:rPr>
        <w:t>اگر غيبت زوجين يا يکی از آنها قبل از استيذان حکمين از آنها باشد، حکمين امکان حکم کردن نخواهند داشت، زيرا سابقاً گفتيم که هر حکمی از جانب حکمين اعم از حکم به استمرار نکاح يا حکم به تفريق، نيازمند استيذان سابق از زوجين است.</w:t>
      </w:r>
    </w:p>
    <w:p w14:paraId="77AAECC6" w14:textId="2AE9CC31" w:rsidR="00C82C4D" w:rsidRDefault="00E122DE" w:rsidP="00E122DE">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 xml:space="preserve">و اگر غيب بعد از استيذان اتفاق افتاده باشد، </w:t>
      </w:r>
      <w:r w:rsidR="00C82C4D">
        <w:rPr>
          <w:rFonts w:cs="Abz-2 (Badr)" w:hint="cs"/>
          <w:sz w:val="28"/>
          <w:szCs w:val="28"/>
          <w:rtl/>
          <w:lang w:bidi="fa-IR"/>
        </w:rPr>
        <w:t>چنانچه اطلاع يافتن حکمين از شرائط و احوالات زوجين و خصوصياتی که سبب وق</w:t>
      </w:r>
      <w:r>
        <w:rPr>
          <w:rFonts w:cs="Abz-2 (Badr)" w:hint="cs"/>
          <w:sz w:val="28"/>
          <w:szCs w:val="28"/>
          <w:rtl/>
          <w:lang w:bidi="fa-IR"/>
        </w:rPr>
        <w:t>و</w:t>
      </w:r>
      <w:r w:rsidR="00C82C4D">
        <w:rPr>
          <w:rFonts w:cs="Abz-2 (Badr)" w:hint="cs"/>
          <w:sz w:val="28"/>
          <w:szCs w:val="28"/>
          <w:rtl/>
          <w:lang w:bidi="fa-IR"/>
        </w:rPr>
        <w:t xml:space="preserve">ع شقاق بين آنان شده است، منوط بر حضور هر دوی آنها باشد، در اين صورت با غيبت يکی از آنها يا هر دوی آنها، از آنجا که امکان </w:t>
      </w:r>
      <w:r>
        <w:rPr>
          <w:rFonts w:cs="Abz-2 (Badr)" w:hint="cs"/>
          <w:sz w:val="28"/>
          <w:szCs w:val="28"/>
          <w:rtl/>
          <w:lang w:bidi="fa-IR"/>
        </w:rPr>
        <w:t>کسب اطلاع حکمين از خصوصيات مورد از بين می</w:t>
      </w:r>
      <w:r>
        <w:rPr>
          <w:rFonts w:cs="Abz-2 (Badr)"/>
          <w:sz w:val="28"/>
          <w:szCs w:val="28"/>
          <w:rtl/>
          <w:lang w:bidi="fa-IR"/>
        </w:rPr>
        <w:softHyphen/>
      </w:r>
      <w:r>
        <w:rPr>
          <w:rFonts w:cs="Abz-2 (Badr)" w:hint="cs"/>
          <w:sz w:val="28"/>
          <w:szCs w:val="28"/>
          <w:rtl/>
          <w:lang w:bidi="fa-IR"/>
        </w:rPr>
        <w:t>رود، امکان حکم نيز برای آنها وجود نخواهد داشت.</w:t>
      </w:r>
    </w:p>
    <w:p w14:paraId="72027D58" w14:textId="72E6CC1C" w:rsidR="00E122DE" w:rsidRDefault="00E122DE" w:rsidP="00E122DE">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بلکه حتی اگر تحصيل علم به خصوصيات مورد منوط بر حضور زوجين نيز نباشد، از آنجا که حکميت برای رفع نزاع و شقاق بين زوجين است و با غيبت يکی از آنها ديگر زندگی مشترکی بين آنان وجود نخواهد داشت تا اين که موضوعی برای شقاق وجود داشته باشد، بنابر اين حکم کردن برای رفع شقاق وجهی نخواهد داشت.</w:t>
      </w:r>
    </w:p>
    <w:p w14:paraId="4A3471AE" w14:textId="31A4CA19" w:rsidR="00E122DE" w:rsidRDefault="00E122DE" w:rsidP="00E122DE">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اگر گفته شود: با استصحاب بقاء شقاق بعد از حضور فرد غايب، حکمين می</w:t>
      </w:r>
      <w:r>
        <w:rPr>
          <w:rFonts w:cs="Abz-2 (Badr)"/>
          <w:sz w:val="28"/>
          <w:szCs w:val="28"/>
          <w:rtl/>
          <w:lang w:bidi="fa-IR"/>
        </w:rPr>
        <w:softHyphen/>
      </w:r>
      <w:r>
        <w:rPr>
          <w:rFonts w:cs="Abz-2 (Badr)" w:hint="cs"/>
          <w:sz w:val="28"/>
          <w:szCs w:val="28"/>
          <w:rtl/>
          <w:lang w:bidi="fa-IR"/>
        </w:rPr>
        <w:t>توانند به جهت منع از آن حکم کنند.</w:t>
      </w:r>
    </w:p>
    <w:p w14:paraId="6F58B5DF" w14:textId="7E3E4AD0" w:rsidR="00E122DE" w:rsidRDefault="00E122DE" w:rsidP="00E122DE">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lastRenderedPageBreak/>
        <w:t>پاسخ اين است که اگر هم اصل استصحاب استقبالی را دارای اشکال ندانسته و بپذيريم، اشکال آن در اين مقام اين است که اتصال مقام يقين به مقام شک در آن وجود ندارد. علاوه بر اين که ظاهر از آيه شريفه اين است که حکميت برای رفع شقاق فعلی است نه برای منع از شقاق استقبالی.</w:t>
      </w:r>
    </w:p>
    <w:p w14:paraId="5B60FBAB" w14:textId="241DCF83" w:rsidR="00E122DE" w:rsidRDefault="000D4DB0" w:rsidP="00E122DE">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بله،</w:t>
      </w:r>
      <w:r w:rsidR="00212CB4">
        <w:rPr>
          <w:rFonts w:cs="Abz-2 (Badr)" w:hint="cs"/>
          <w:sz w:val="28"/>
          <w:szCs w:val="28"/>
          <w:rtl/>
          <w:lang w:bidi="fa-IR"/>
        </w:rPr>
        <w:t xml:space="preserve"> اين مطلب در جايی است که بدانيم زوجين در حال زندگی با يکديگر نيستند، مثل اين که يکی از آنها غايب شده و ديگری حاضر باشد. اما اگر هر دوی آنها غايب شدند در حالی که می</w:t>
      </w:r>
      <w:r w:rsidR="00212CB4">
        <w:rPr>
          <w:rFonts w:cs="Abz-2 (Badr)"/>
          <w:sz w:val="28"/>
          <w:szCs w:val="28"/>
          <w:rtl/>
          <w:lang w:bidi="fa-IR"/>
        </w:rPr>
        <w:softHyphen/>
      </w:r>
      <w:r w:rsidR="00212CB4">
        <w:rPr>
          <w:rFonts w:cs="Abz-2 (Badr)" w:hint="cs"/>
          <w:sz w:val="28"/>
          <w:szCs w:val="28"/>
          <w:rtl/>
          <w:lang w:bidi="fa-IR"/>
        </w:rPr>
        <w:t>دانيم هنوز در حال زندگی با يکديگر هستند يا با شک در اين که با هم زندگی می</w:t>
      </w:r>
      <w:r w:rsidR="00212CB4">
        <w:rPr>
          <w:rFonts w:cs="Abz-2 (Badr)"/>
          <w:sz w:val="28"/>
          <w:szCs w:val="28"/>
          <w:rtl/>
          <w:lang w:bidi="fa-IR"/>
        </w:rPr>
        <w:softHyphen/>
      </w:r>
      <w:r w:rsidR="00212CB4">
        <w:rPr>
          <w:rFonts w:cs="Abz-2 (Badr)" w:hint="cs"/>
          <w:sz w:val="28"/>
          <w:szCs w:val="28"/>
          <w:rtl/>
          <w:lang w:bidi="fa-IR"/>
        </w:rPr>
        <w:t>کنند يا خير، بقاء آن را استصحاب کرديم، در اين صورت موضوع شقاق منتفی نخواهد بود و اگر هم شک در بقاء شقاق داشتيم، می</w:t>
      </w:r>
      <w:r w:rsidR="00212CB4">
        <w:rPr>
          <w:rFonts w:cs="Abz-2 (Badr)"/>
          <w:sz w:val="28"/>
          <w:szCs w:val="28"/>
          <w:rtl/>
          <w:lang w:bidi="fa-IR"/>
        </w:rPr>
        <w:softHyphen/>
      </w:r>
      <w:r w:rsidR="00212CB4">
        <w:rPr>
          <w:rFonts w:cs="Abz-2 (Badr)" w:hint="cs"/>
          <w:sz w:val="28"/>
          <w:szCs w:val="28"/>
          <w:rtl/>
          <w:lang w:bidi="fa-IR"/>
        </w:rPr>
        <w:t>توان با تمسک به استصحاب آن را احراز کرد.</w:t>
      </w:r>
    </w:p>
    <w:p w14:paraId="02C43636" w14:textId="3C0456A0" w:rsidR="001B361C" w:rsidRPr="00DB30BF" w:rsidRDefault="000D4DB0" w:rsidP="00A41C6F">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بنابر اين در اين فرض بايد گفت: چون حکميت بين زوجين فقط برای رفع شقاق است و بحث مدعی و منکر در آن مطرح نيست ـ فلذا حکمين بر اساس مصلحت در آن حکم می</w:t>
      </w:r>
      <w:r>
        <w:rPr>
          <w:rFonts w:cs="Abz-2 (Badr)"/>
          <w:sz w:val="28"/>
          <w:szCs w:val="28"/>
          <w:rtl/>
          <w:lang w:bidi="fa-IR"/>
        </w:rPr>
        <w:softHyphen/>
      </w:r>
      <w:r>
        <w:rPr>
          <w:rFonts w:cs="Abz-2 (Badr)" w:hint="cs"/>
          <w:sz w:val="28"/>
          <w:szCs w:val="28"/>
          <w:rtl/>
          <w:lang w:bidi="fa-IR"/>
        </w:rPr>
        <w:t>کنند نه بر اساس بينه و سوگند ـ بنابر اين با احراز اين که رضايت زوجين به حکميت حکمين در حين حکم آنها وجود داشته ـ ولو به واسطه استصحاب اذن سابق آنها ـ می</w:t>
      </w:r>
      <w:r>
        <w:rPr>
          <w:rFonts w:cs="Abz-2 (Badr)"/>
          <w:sz w:val="28"/>
          <w:szCs w:val="28"/>
          <w:rtl/>
          <w:lang w:bidi="fa-IR"/>
        </w:rPr>
        <w:softHyphen/>
      </w:r>
      <w:r>
        <w:rPr>
          <w:rFonts w:cs="Abz-2 (Badr)" w:hint="cs"/>
          <w:sz w:val="28"/>
          <w:szCs w:val="28"/>
          <w:rtl/>
          <w:lang w:bidi="fa-IR"/>
        </w:rPr>
        <w:t>توان قائل به نفوذ حکم آنها در اين مورد شد.</w:t>
      </w:r>
    </w:p>
    <w:sectPr w:rsidR="001B361C" w:rsidRPr="00DB30BF" w:rsidSect="00A82CEF">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E10DA" w14:textId="77777777" w:rsidR="00771F05" w:rsidRDefault="00771F05" w:rsidP="00F71127">
      <w:pPr>
        <w:spacing w:after="0" w:line="240" w:lineRule="auto"/>
      </w:pPr>
      <w:r>
        <w:separator/>
      </w:r>
    </w:p>
  </w:endnote>
  <w:endnote w:type="continuationSeparator" w:id="0">
    <w:p w14:paraId="64A7FF69" w14:textId="77777777" w:rsidR="00771F05" w:rsidRDefault="00771F05"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F0C8" w14:textId="77777777" w:rsidR="00A82CEF" w:rsidRDefault="00A82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7585" w14:textId="77777777" w:rsidR="00A82CEF" w:rsidRDefault="00A82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59F30" w14:textId="77777777" w:rsidR="00771F05" w:rsidRDefault="00771F05" w:rsidP="00EE25C0">
      <w:pPr>
        <w:bidi/>
        <w:spacing w:after="0" w:line="240" w:lineRule="auto"/>
      </w:pPr>
      <w:r>
        <w:separator/>
      </w:r>
    </w:p>
  </w:footnote>
  <w:footnote w:type="continuationSeparator" w:id="0">
    <w:p w14:paraId="4EAE91EE" w14:textId="77777777" w:rsidR="00771F05" w:rsidRDefault="00771F05" w:rsidP="00F71127">
      <w:pPr>
        <w:bidi/>
        <w:spacing w:after="0" w:line="240" w:lineRule="auto"/>
      </w:pPr>
      <w:r>
        <w:continuationSeparator/>
      </w:r>
    </w:p>
  </w:footnote>
  <w:footnote w:id="1">
    <w:p w14:paraId="2A37385D" w14:textId="249B65B2" w:rsidR="005E2B0A" w:rsidRPr="005E2B0A" w:rsidRDefault="005E2B0A" w:rsidP="005E2B0A">
      <w:pPr>
        <w:pStyle w:val="FootnoteText"/>
        <w:bidi/>
        <w:rPr>
          <w:rFonts w:cs="Abz-2 (Badr)"/>
          <w:rtl/>
          <w:lang w:bidi="fa-IR"/>
        </w:rPr>
      </w:pPr>
      <w:r w:rsidRPr="005E2B0A">
        <w:rPr>
          <w:rStyle w:val="FootnoteReference"/>
          <w:rFonts w:cs="Abz-2 (Badr)"/>
          <w:vertAlign w:val="baseline"/>
        </w:rPr>
        <w:footnoteRef/>
      </w:r>
      <w:r>
        <w:rPr>
          <w:rFonts w:cs="Abz-2 (Badr)" w:hint="cs"/>
          <w:rtl/>
        </w:rPr>
        <w:t xml:space="preserve"> ـ مسالك،ج8،ص370.</w:t>
      </w:r>
    </w:p>
  </w:footnote>
  <w:footnote w:id="2">
    <w:p w14:paraId="3B8C5FA3" w14:textId="34DBC923" w:rsidR="005E2B0A" w:rsidRPr="005E2B0A" w:rsidRDefault="005E2B0A" w:rsidP="005E2B0A">
      <w:pPr>
        <w:pStyle w:val="FootnoteText"/>
        <w:bidi/>
        <w:rPr>
          <w:rFonts w:cs="Abz-2 (Badr)"/>
          <w:rtl/>
          <w:lang w:bidi="fa-IR"/>
        </w:rPr>
      </w:pPr>
      <w:r w:rsidRPr="005E2B0A">
        <w:rPr>
          <w:rStyle w:val="FootnoteReference"/>
          <w:rFonts w:cs="Abz-2 (Badr)"/>
          <w:vertAlign w:val="baseline"/>
        </w:rPr>
        <w:footnoteRef/>
      </w:r>
      <w:r>
        <w:rPr>
          <w:rFonts w:cs="Abz-2 (Badr)" w:hint="cs"/>
          <w:rtl/>
        </w:rPr>
        <w:t xml:space="preserve"> ـ جواهر،ج31،ص218.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0496" w14:textId="77777777" w:rsidR="00A82CEF" w:rsidRDefault="00A82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5BBE" w14:textId="3304197C" w:rsidR="00A82CEF" w:rsidRDefault="00A82CEF">
    <w:pPr>
      <w:pStyle w:val="Header"/>
    </w:pPr>
    <w:r>
      <w:rPr>
        <w:noProof/>
      </w:rPr>
      <mc:AlternateContent>
        <mc:Choice Requires="wps">
          <w:drawing>
            <wp:anchor distT="45720" distB="45720" distL="114300" distR="114300" simplePos="0" relativeHeight="251661312" behindDoc="0" locked="0" layoutInCell="1" allowOverlap="1" wp14:anchorId="3F5265D7" wp14:editId="765E3351">
              <wp:simplePos x="0" y="0"/>
              <wp:positionH relativeFrom="margin">
                <wp:posOffset>2391410</wp:posOffset>
              </wp:positionH>
              <wp:positionV relativeFrom="paragraph">
                <wp:posOffset>236220</wp:posOffset>
              </wp:positionV>
              <wp:extent cx="4084320" cy="1889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1889760"/>
                      </a:xfrm>
                      <a:prstGeom prst="rect">
                        <a:avLst/>
                      </a:prstGeom>
                      <a:solidFill>
                        <a:srgbClr val="FFFFFF"/>
                      </a:solidFill>
                      <a:ln w="9525">
                        <a:noFill/>
                        <a:miter lim="800000"/>
                        <a:headEnd/>
                        <a:tailEnd/>
                      </a:ln>
                    </wps:spPr>
                    <wps:txbx>
                      <w:txbxContent>
                        <w:p w14:paraId="6764894C" w14:textId="4DC97DF3" w:rsidR="00A82CEF" w:rsidRDefault="00A82CEF" w:rsidP="00A82CEF">
                          <w:pPr>
                            <w:bidi/>
                            <w:rPr>
                              <w:rFonts w:cs="B Mehr"/>
                            </w:rPr>
                          </w:pPr>
                          <w:r>
                            <w:rPr>
                              <w:rFonts w:cs="B Mehr" w:hint="cs"/>
                              <w:rtl/>
                            </w:rPr>
                            <w:t>تقریر درس خارج فقه،  استاد حاج سید علی موسوی اردبیلی</w:t>
                          </w:r>
                          <w:r>
                            <w:rPr>
                              <w:rFonts w:cs="B Mehr" w:hint="cs"/>
                            </w:rPr>
                            <w:t xml:space="preserve"> </w:t>
                          </w:r>
                        </w:p>
                        <w:p w14:paraId="16F406F2" w14:textId="77777777" w:rsidR="00A82CEF" w:rsidRDefault="00A82CEF" w:rsidP="00A82CEF">
                          <w:pPr>
                            <w:jc w:val="right"/>
                            <w:rPr>
                              <w:rFonts w:cs="B Mehr"/>
                            </w:rPr>
                          </w:pPr>
                          <w:r>
                            <w:rPr>
                              <w:rFonts w:cs="B Mehr" w:hint="cs"/>
                              <w:rtl/>
                            </w:rPr>
                            <w:t xml:space="preserve">مبحث: قسم ، نشوز ، شقاق/   </w:t>
                          </w:r>
                        </w:p>
                        <w:p w14:paraId="2ABB3FB1" w14:textId="1A16C3B2" w:rsidR="00A82CEF" w:rsidRDefault="00A82CEF" w:rsidP="00A82CEF">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 </w:t>
                          </w:r>
                          <w:r>
                            <w:rPr>
                              <w:rFonts w:cs="B Mehr" w:hint="cs"/>
                              <w:rtl/>
                            </w:rPr>
                            <w:t xml:space="preserve">،   </w:t>
                          </w:r>
                          <w:r>
                            <w:rPr>
                              <w:rFonts w:cs="B Mehr" w:hint="cs"/>
                              <w:rtl/>
                            </w:rPr>
                            <w:t>24</w:t>
                          </w:r>
                          <w:r>
                            <w:rPr>
                              <w:rFonts w:cs="B Mehr" w:hint="cs"/>
                              <w:rtl/>
                            </w:rPr>
                            <w:t xml:space="preserve">      آذر  ماه - 1403ه.ش</w:t>
                          </w:r>
                        </w:p>
                        <w:p w14:paraId="6C87319B" w14:textId="77777777" w:rsidR="00A82CEF" w:rsidRDefault="00A82CEF" w:rsidP="00A82CEF"/>
                        <w:p w14:paraId="1986EC04" w14:textId="77777777" w:rsidR="00A82CEF" w:rsidRDefault="00A82CEF" w:rsidP="00A82CEF"/>
                        <w:p w14:paraId="68190DB9" w14:textId="77777777" w:rsidR="00A82CEF" w:rsidRDefault="00A82CEF" w:rsidP="00A82CEF"/>
                        <w:p w14:paraId="24305BDC" w14:textId="77777777" w:rsidR="00A82CEF" w:rsidRDefault="00A82CEF" w:rsidP="00A82CEF"/>
                        <w:p w14:paraId="6E40BEBE" w14:textId="77777777" w:rsidR="00A82CEF" w:rsidRDefault="00A82CEF" w:rsidP="00A82CEF"/>
                        <w:p w14:paraId="44E2653A" w14:textId="77777777" w:rsidR="00A82CEF" w:rsidRDefault="00A82CEF" w:rsidP="00A82CEF"/>
                        <w:p w14:paraId="3C52329E" w14:textId="77777777" w:rsidR="00A82CEF" w:rsidRDefault="00A82CEF" w:rsidP="00A82CEF"/>
                        <w:p w14:paraId="386CBB5B" w14:textId="77777777" w:rsidR="00A82CEF" w:rsidRDefault="00A82CEF" w:rsidP="00A82CEF"/>
                        <w:p w14:paraId="3E5C5160" w14:textId="77777777" w:rsidR="00A82CEF" w:rsidRDefault="00A82CEF" w:rsidP="00A82CEF"/>
                        <w:p w14:paraId="76AA9601" w14:textId="77777777" w:rsidR="00A82CEF" w:rsidRDefault="00A82CEF" w:rsidP="00A82CEF"/>
                        <w:p w14:paraId="0949A52B" w14:textId="77777777" w:rsidR="00A82CEF" w:rsidRDefault="00A82CEF" w:rsidP="00A82CEF"/>
                        <w:p w14:paraId="69521F63" w14:textId="77777777" w:rsidR="00A82CEF" w:rsidRDefault="00A82CEF" w:rsidP="00A82CEF"/>
                        <w:p w14:paraId="0E8AFEB9" w14:textId="77777777" w:rsidR="00A82CEF" w:rsidRDefault="00A82CEF" w:rsidP="00A82CEF"/>
                        <w:p w14:paraId="055AA5F3" w14:textId="77777777" w:rsidR="00A82CEF" w:rsidRDefault="00A82CEF" w:rsidP="00A82CEF"/>
                        <w:p w14:paraId="019D0B3C" w14:textId="77777777" w:rsidR="00A82CEF" w:rsidRDefault="00A82CEF" w:rsidP="00A82CEF"/>
                        <w:p w14:paraId="00C4B9DE" w14:textId="77777777" w:rsidR="00A82CEF" w:rsidRDefault="00A82CEF" w:rsidP="00A82CEF"/>
                        <w:p w14:paraId="161B2E8D" w14:textId="77777777" w:rsidR="00A82CEF" w:rsidRDefault="00A82CEF" w:rsidP="00A82CEF"/>
                        <w:p w14:paraId="2BD59F57" w14:textId="77777777" w:rsidR="00A82CEF" w:rsidRDefault="00A82CEF" w:rsidP="00A82CEF"/>
                        <w:p w14:paraId="3D4E9C11" w14:textId="77777777" w:rsidR="00A82CEF" w:rsidRDefault="00A82CEF" w:rsidP="00A82CEF"/>
                        <w:p w14:paraId="7D47561D" w14:textId="2A9FC15B" w:rsidR="00A82CEF" w:rsidRDefault="00A82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265D7" id="_x0000_t202" coordsize="21600,21600" o:spt="202" path="m,l,21600r21600,l21600,xe">
              <v:stroke joinstyle="miter"/>
              <v:path gradientshapeok="t" o:connecttype="rect"/>
            </v:shapetype>
            <v:shape id="Text Box 2" o:spid="_x0000_s1026" type="#_x0000_t202" style="position:absolute;margin-left:188.3pt;margin-top:18.6pt;width:321.6pt;height:148.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FGDg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" stroked="f">
              <v:textbox>
                <w:txbxContent>
                  <w:p w14:paraId="6764894C" w14:textId="4DC97DF3" w:rsidR="00A82CEF" w:rsidRDefault="00A82CEF" w:rsidP="00A82CEF">
                    <w:pPr>
                      <w:bidi/>
                      <w:rPr>
                        <w:rFonts w:cs="B Mehr"/>
                      </w:rPr>
                    </w:pPr>
                    <w:r>
                      <w:rPr>
                        <w:rFonts w:cs="B Mehr" w:hint="cs"/>
                        <w:rtl/>
                      </w:rPr>
                      <w:t>تقریر درس خارج فقه،  استاد حاج سید علی موسوی اردبیلی</w:t>
                    </w:r>
                    <w:r>
                      <w:rPr>
                        <w:rFonts w:cs="B Mehr" w:hint="cs"/>
                      </w:rPr>
                      <w:t xml:space="preserve"> </w:t>
                    </w:r>
                  </w:p>
                  <w:p w14:paraId="16F406F2" w14:textId="77777777" w:rsidR="00A82CEF" w:rsidRDefault="00A82CEF" w:rsidP="00A82CEF">
                    <w:pPr>
                      <w:jc w:val="right"/>
                      <w:rPr>
                        <w:rFonts w:cs="B Mehr"/>
                      </w:rPr>
                    </w:pPr>
                    <w:r>
                      <w:rPr>
                        <w:rFonts w:cs="B Mehr" w:hint="cs"/>
                        <w:rtl/>
                      </w:rPr>
                      <w:t xml:space="preserve">مبحث: قسم ، نشوز ، شقاق/   </w:t>
                    </w:r>
                  </w:p>
                  <w:p w14:paraId="2ABB3FB1" w14:textId="1A16C3B2" w:rsidR="00A82CEF" w:rsidRDefault="00A82CEF" w:rsidP="00A82CEF">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 </w:t>
                    </w:r>
                    <w:r>
                      <w:rPr>
                        <w:rFonts w:cs="B Mehr" w:hint="cs"/>
                        <w:rtl/>
                      </w:rPr>
                      <w:t xml:space="preserve">،   </w:t>
                    </w:r>
                    <w:r>
                      <w:rPr>
                        <w:rFonts w:cs="B Mehr" w:hint="cs"/>
                        <w:rtl/>
                      </w:rPr>
                      <w:t>24</w:t>
                    </w:r>
                    <w:r>
                      <w:rPr>
                        <w:rFonts w:cs="B Mehr" w:hint="cs"/>
                        <w:rtl/>
                      </w:rPr>
                      <w:t xml:space="preserve">      آذر  ماه - 1403ه.ش</w:t>
                    </w:r>
                  </w:p>
                  <w:p w14:paraId="6C87319B" w14:textId="77777777" w:rsidR="00A82CEF" w:rsidRDefault="00A82CEF" w:rsidP="00A82CEF"/>
                  <w:p w14:paraId="1986EC04" w14:textId="77777777" w:rsidR="00A82CEF" w:rsidRDefault="00A82CEF" w:rsidP="00A82CEF"/>
                  <w:p w14:paraId="68190DB9" w14:textId="77777777" w:rsidR="00A82CEF" w:rsidRDefault="00A82CEF" w:rsidP="00A82CEF"/>
                  <w:p w14:paraId="24305BDC" w14:textId="77777777" w:rsidR="00A82CEF" w:rsidRDefault="00A82CEF" w:rsidP="00A82CEF"/>
                  <w:p w14:paraId="6E40BEBE" w14:textId="77777777" w:rsidR="00A82CEF" w:rsidRDefault="00A82CEF" w:rsidP="00A82CEF"/>
                  <w:p w14:paraId="44E2653A" w14:textId="77777777" w:rsidR="00A82CEF" w:rsidRDefault="00A82CEF" w:rsidP="00A82CEF"/>
                  <w:p w14:paraId="3C52329E" w14:textId="77777777" w:rsidR="00A82CEF" w:rsidRDefault="00A82CEF" w:rsidP="00A82CEF"/>
                  <w:p w14:paraId="386CBB5B" w14:textId="77777777" w:rsidR="00A82CEF" w:rsidRDefault="00A82CEF" w:rsidP="00A82CEF"/>
                  <w:p w14:paraId="3E5C5160" w14:textId="77777777" w:rsidR="00A82CEF" w:rsidRDefault="00A82CEF" w:rsidP="00A82CEF"/>
                  <w:p w14:paraId="76AA9601" w14:textId="77777777" w:rsidR="00A82CEF" w:rsidRDefault="00A82CEF" w:rsidP="00A82CEF"/>
                  <w:p w14:paraId="0949A52B" w14:textId="77777777" w:rsidR="00A82CEF" w:rsidRDefault="00A82CEF" w:rsidP="00A82CEF"/>
                  <w:p w14:paraId="69521F63" w14:textId="77777777" w:rsidR="00A82CEF" w:rsidRDefault="00A82CEF" w:rsidP="00A82CEF"/>
                  <w:p w14:paraId="0E8AFEB9" w14:textId="77777777" w:rsidR="00A82CEF" w:rsidRDefault="00A82CEF" w:rsidP="00A82CEF"/>
                  <w:p w14:paraId="055AA5F3" w14:textId="77777777" w:rsidR="00A82CEF" w:rsidRDefault="00A82CEF" w:rsidP="00A82CEF"/>
                  <w:p w14:paraId="019D0B3C" w14:textId="77777777" w:rsidR="00A82CEF" w:rsidRDefault="00A82CEF" w:rsidP="00A82CEF"/>
                  <w:p w14:paraId="00C4B9DE" w14:textId="77777777" w:rsidR="00A82CEF" w:rsidRDefault="00A82CEF" w:rsidP="00A82CEF"/>
                  <w:p w14:paraId="161B2E8D" w14:textId="77777777" w:rsidR="00A82CEF" w:rsidRDefault="00A82CEF" w:rsidP="00A82CEF"/>
                  <w:p w14:paraId="2BD59F57" w14:textId="77777777" w:rsidR="00A82CEF" w:rsidRDefault="00A82CEF" w:rsidP="00A82CEF"/>
                  <w:p w14:paraId="3D4E9C11" w14:textId="77777777" w:rsidR="00A82CEF" w:rsidRDefault="00A82CEF" w:rsidP="00A82CEF"/>
                  <w:p w14:paraId="7D47561D" w14:textId="2A9FC15B" w:rsidR="00A82CEF" w:rsidRDefault="00A82CEF"/>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FD0CE06" wp14:editId="487C8888">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04C0" w14:textId="77777777" w:rsidR="00A82CEF" w:rsidRDefault="00A82C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FD5"/>
    <w:rsid w:val="001046DD"/>
    <w:rsid w:val="0010482B"/>
    <w:rsid w:val="00105096"/>
    <w:rsid w:val="001050A2"/>
    <w:rsid w:val="00107F69"/>
    <w:rsid w:val="00110DD3"/>
    <w:rsid w:val="00111803"/>
    <w:rsid w:val="00111ABB"/>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3144"/>
    <w:rsid w:val="00203F87"/>
    <w:rsid w:val="00204A4D"/>
    <w:rsid w:val="00205974"/>
    <w:rsid w:val="00206672"/>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C2A"/>
    <w:rsid w:val="0037017B"/>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BC9"/>
    <w:rsid w:val="00393CDD"/>
    <w:rsid w:val="00393EF3"/>
    <w:rsid w:val="00394F54"/>
    <w:rsid w:val="00395F51"/>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7548"/>
    <w:rsid w:val="003F0F80"/>
    <w:rsid w:val="003F236A"/>
    <w:rsid w:val="003F37CE"/>
    <w:rsid w:val="003F3EEE"/>
    <w:rsid w:val="003F4526"/>
    <w:rsid w:val="003F5961"/>
    <w:rsid w:val="00400163"/>
    <w:rsid w:val="00400846"/>
    <w:rsid w:val="00400C29"/>
    <w:rsid w:val="004023DB"/>
    <w:rsid w:val="00403DBF"/>
    <w:rsid w:val="00403F11"/>
    <w:rsid w:val="00404302"/>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2019"/>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894"/>
    <w:rsid w:val="00604A0D"/>
    <w:rsid w:val="00605885"/>
    <w:rsid w:val="0060689C"/>
    <w:rsid w:val="00607112"/>
    <w:rsid w:val="00610278"/>
    <w:rsid w:val="006103C1"/>
    <w:rsid w:val="00610653"/>
    <w:rsid w:val="00610A07"/>
    <w:rsid w:val="00612591"/>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1F05"/>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3D8"/>
    <w:rsid w:val="0083604C"/>
    <w:rsid w:val="00836783"/>
    <w:rsid w:val="00836FC7"/>
    <w:rsid w:val="00837DBE"/>
    <w:rsid w:val="008404D2"/>
    <w:rsid w:val="00840FFD"/>
    <w:rsid w:val="008415A4"/>
    <w:rsid w:val="00843654"/>
    <w:rsid w:val="008450DC"/>
    <w:rsid w:val="0084563B"/>
    <w:rsid w:val="00845F99"/>
    <w:rsid w:val="0084685A"/>
    <w:rsid w:val="008473A4"/>
    <w:rsid w:val="00851175"/>
    <w:rsid w:val="0085135C"/>
    <w:rsid w:val="0085159A"/>
    <w:rsid w:val="00851737"/>
    <w:rsid w:val="008544EC"/>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2CEF"/>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93746"/>
    <w:rsid w:val="00B943C0"/>
    <w:rsid w:val="00B9441F"/>
    <w:rsid w:val="00B94CAC"/>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08B"/>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30BF"/>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3FA3"/>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AB3"/>
    <w:rsid w:val="00EA1B9E"/>
    <w:rsid w:val="00EA2B3F"/>
    <w:rsid w:val="00EA2C32"/>
    <w:rsid w:val="00EA2CC7"/>
    <w:rsid w:val="00EA35EC"/>
    <w:rsid w:val="00EA36CE"/>
    <w:rsid w:val="00EA57A0"/>
    <w:rsid w:val="00EA5958"/>
    <w:rsid w:val="00EA648C"/>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17107</TotalTime>
  <Pages>1</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231</cp:revision>
  <cp:lastPrinted>2024-12-13T06:21:00Z</cp:lastPrinted>
  <dcterms:created xsi:type="dcterms:W3CDTF">2022-10-16T08:36:00Z</dcterms:created>
  <dcterms:modified xsi:type="dcterms:W3CDTF">2024-12-14T08:56:00Z</dcterms:modified>
</cp:coreProperties>
</file>